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CF6A" w14:textId="77777777" w:rsidR="00867BD4" w:rsidRPr="00462C63" w:rsidRDefault="00867BD4" w:rsidP="00867BD4">
      <w:pPr>
        <w:rPr>
          <w:rFonts w:eastAsia="Times New Roman"/>
          <w:noProof/>
          <w:szCs w:val="24"/>
        </w:rPr>
      </w:pPr>
      <w:r w:rsidRPr="00462C63">
        <w:rPr>
          <w:rFonts w:eastAsia="Times New Roman"/>
          <w:noProof/>
          <w:szCs w:val="24"/>
        </w:rPr>
        <mc:AlternateContent>
          <mc:Choice Requires="wps">
            <w:drawing>
              <wp:anchor distT="0" distB="0" distL="114300" distR="114300" simplePos="0" relativeHeight="251659264" behindDoc="0" locked="0" layoutInCell="1" allowOverlap="1" wp14:anchorId="18DF3E7D" wp14:editId="476D01A0">
                <wp:simplePos x="0" y="0"/>
                <wp:positionH relativeFrom="column">
                  <wp:posOffset>-155575</wp:posOffset>
                </wp:positionH>
                <wp:positionV relativeFrom="paragraph">
                  <wp:posOffset>120650</wp:posOffset>
                </wp:positionV>
                <wp:extent cx="5901055" cy="8754110"/>
                <wp:effectExtent l="19050" t="19050" r="23495" b="27940"/>
                <wp:wrapNone/>
                <wp:docPr id="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875411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DA70" id="Rectangle 4" o:spid="_x0000_s1026" style="position:absolute;margin-left:-12.25pt;margin-top:9.5pt;width:464.65pt;height:6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" filled="f" strokeweight="4.5pt">
                <v:stroke linestyle="thickThin"/>
              </v:rect>
            </w:pict>
          </mc:Fallback>
        </mc:AlternateContent>
      </w:r>
    </w:p>
    <w:p w14:paraId="4DFAED40" w14:textId="77777777" w:rsidR="00867BD4" w:rsidRPr="00462C63" w:rsidRDefault="00867BD4" w:rsidP="00867BD4">
      <w:pPr>
        <w:jc w:val="center"/>
        <w:rPr>
          <w:rFonts w:eastAsia="Times New Roman"/>
          <w:b/>
          <w:noProof/>
          <w:sz w:val="28"/>
          <w:szCs w:val="24"/>
        </w:rPr>
      </w:pPr>
      <w:r w:rsidRPr="00462C63">
        <w:rPr>
          <w:rFonts w:eastAsia="Times New Roman"/>
          <w:b/>
          <w:noProof/>
          <w:sz w:val="28"/>
          <w:szCs w:val="24"/>
        </w:rPr>
        <w:t>BỘ Y TẾ</w:t>
      </w:r>
    </w:p>
    <w:p w14:paraId="2E6C7EA0" w14:textId="77777777" w:rsidR="00867BD4" w:rsidRPr="00462C63" w:rsidRDefault="00867BD4" w:rsidP="00867BD4">
      <w:pPr>
        <w:jc w:val="center"/>
        <w:rPr>
          <w:rFonts w:eastAsia="Times New Roman"/>
          <w:noProof/>
          <w:szCs w:val="24"/>
        </w:rPr>
      </w:pPr>
      <w:r w:rsidRPr="00462C63">
        <w:rPr>
          <w:rFonts w:eastAsia="Times New Roman"/>
          <w:noProof/>
          <w:szCs w:val="24"/>
        </w:rPr>
        <w:t>---o0o---</w:t>
      </w:r>
    </w:p>
    <w:p w14:paraId="134299D1" w14:textId="77777777" w:rsidR="00867BD4" w:rsidRPr="00462C63" w:rsidRDefault="00867BD4" w:rsidP="00867BD4">
      <w:pPr>
        <w:jc w:val="center"/>
        <w:rPr>
          <w:rFonts w:eastAsia="Times New Roman"/>
          <w:noProof/>
          <w:szCs w:val="24"/>
        </w:rPr>
      </w:pPr>
    </w:p>
    <w:p w14:paraId="7D13AAA8" w14:textId="77777777" w:rsidR="00867BD4" w:rsidRPr="00462C63" w:rsidRDefault="00867BD4" w:rsidP="00867BD4">
      <w:pPr>
        <w:jc w:val="center"/>
        <w:rPr>
          <w:rFonts w:eastAsia="Times New Roman"/>
          <w:noProof/>
          <w:szCs w:val="24"/>
        </w:rPr>
      </w:pPr>
    </w:p>
    <w:p w14:paraId="7686F706" w14:textId="77777777" w:rsidR="00867BD4" w:rsidRPr="00462C63" w:rsidRDefault="00867BD4" w:rsidP="00867BD4">
      <w:pPr>
        <w:jc w:val="center"/>
        <w:rPr>
          <w:rFonts w:eastAsia="Times New Roman"/>
          <w:noProof/>
          <w:szCs w:val="24"/>
        </w:rPr>
      </w:pPr>
    </w:p>
    <w:p w14:paraId="32BF9518" w14:textId="77777777" w:rsidR="00867BD4" w:rsidRPr="00462C63" w:rsidRDefault="00867BD4" w:rsidP="00867BD4">
      <w:pPr>
        <w:jc w:val="center"/>
        <w:rPr>
          <w:rFonts w:eastAsia="Times New Roman"/>
          <w:noProof/>
          <w:szCs w:val="24"/>
        </w:rPr>
      </w:pPr>
    </w:p>
    <w:p w14:paraId="7AC7938E" w14:textId="77777777" w:rsidR="00867BD4" w:rsidRPr="00462C63" w:rsidRDefault="00867BD4" w:rsidP="00867BD4">
      <w:pPr>
        <w:jc w:val="center"/>
        <w:rPr>
          <w:rFonts w:eastAsia="Times New Roman"/>
          <w:noProof/>
          <w:szCs w:val="24"/>
        </w:rPr>
      </w:pPr>
    </w:p>
    <w:p w14:paraId="5574A69F" w14:textId="77777777" w:rsidR="00867BD4" w:rsidRPr="00462C63" w:rsidRDefault="00867BD4" w:rsidP="00867BD4">
      <w:pPr>
        <w:jc w:val="center"/>
        <w:rPr>
          <w:rFonts w:eastAsia="Times New Roman"/>
          <w:noProof/>
          <w:szCs w:val="24"/>
        </w:rPr>
      </w:pPr>
    </w:p>
    <w:p w14:paraId="7728FB4C" w14:textId="77777777" w:rsidR="00867BD4" w:rsidRPr="00462C63" w:rsidRDefault="00867BD4" w:rsidP="00867BD4">
      <w:pPr>
        <w:jc w:val="center"/>
        <w:rPr>
          <w:rFonts w:eastAsia="Times New Roman"/>
          <w:noProof/>
          <w:szCs w:val="24"/>
        </w:rPr>
      </w:pPr>
    </w:p>
    <w:p w14:paraId="7A3D9522" w14:textId="77777777" w:rsidR="00867BD4" w:rsidRPr="00462C63" w:rsidRDefault="00867BD4" w:rsidP="00867BD4">
      <w:pPr>
        <w:jc w:val="center"/>
        <w:rPr>
          <w:rFonts w:eastAsia="Times New Roman"/>
          <w:noProof/>
          <w:szCs w:val="24"/>
        </w:rPr>
      </w:pPr>
    </w:p>
    <w:p w14:paraId="278F2360" w14:textId="77777777" w:rsidR="00867BD4" w:rsidRPr="00462C63" w:rsidRDefault="00867BD4" w:rsidP="00867BD4">
      <w:pPr>
        <w:jc w:val="center"/>
        <w:rPr>
          <w:rFonts w:eastAsia="Times New Roman"/>
          <w:b/>
          <w:noProof/>
          <w:szCs w:val="24"/>
        </w:rPr>
      </w:pPr>
    </w:p>
    <w:p w14:paraId="394CF49D" w14:textId="77777777" w:rsidR="00867BD4" w:rsidRPr="00462C63" w:rsidRDefault="00867BD4" w:rsidP="00867BD4">
      <w:pPr>
        <w:jc w:val="center"/>
        <w:rPr>
          <w:rFonts w:eastAsia="Times New Roman"/>
          <w:b/>
          <w:noProof/>
          <w:szCs w:val="24"/>
        </w:rPr>
      </w:pPr>
    </w:p>
    <w:p w14:paraId="58510399" w14:textId="77777777" w:rsidR="00867BD4" w:rsidRPr="00462C63" w:rsidRDefault="00867BD4" w:rsidP="00867BD4">
      <w:pPr>
        <w:jc w:val="center"/>
        <w:rPr>
          <w:rFonts w:eastAsia="Times New Roman"/>
          <w:b/>
          <w:noProof/>
          <w:szCs w:val="24"/>
        </w:rPr>
      </w:pPr>
    </w:p>
    <w:p w14:paraId="3703F93F" w14:textId="77777777" w:rsidR="00867BD4" w:rsidRPr="00462C63" w:rsidRDefault="00867BD4" w:rsidP="00867BD4">
      <w:pPr>
        <w:pStyle w:val="Chapter"/>
      </w:pPr>
      <w:bookmarkStart w:id="0" w:name="_Toc226277750"/>
      <w:bookmarkStart w:id="1" w:name="_Toc243735718"/>
      <w:bookmarkStart w:id="2" w:name="_Toc479603749"/>
      <w:r w:rsidRPr="00462C63">
        <w:t xml:space="preserve">HƯỚNG DẪN QUỐC GIA </w:t>
      </w:r>
      <w:r w:rsidRPr="00462C63">
        <w:br/>
      </w:r>
      <w:bookmarkEnd w:id="0"/>
      <w:bookmarkEnd w:id="1"/>
      <w:r w:rsidRPr="00462C63">
        <w:t xml:space="preserve">về các dịch vụ chăm sóc </w:t>
      </w:r>
      <w:r w:rsidRPr="00462C63">
        <w:br/>
        <w:t>sức khỏe sinh sản</w:t>
      </w:r>
      <w:bookmarkEnd w:id="2"/>
    </w:p>
    <w:p w14:paraId="2E7DB89C" w14:textId="77777777" w:rsidR="00867BD4" w:rsidRPr="00462C63" w:rsidRDefault="00867BD4" w:rsidP="00867BD4">
      <w:pPr>
        <w:jc w:val="center"/>
        <w:rPr>
          <w:rFonts w:eastAsia="Times New Roman"/>
          <w:i/>
          <w:noProof/>
          <w:sz w:val="28"/>
          <w:szCs w:val="24"/>
        </w:rPr>
      </w:pPr>
      <w:r w:rsidRPr="00462C63">
        <w:rPr>
          <w:rFonts w:eastAsia="Times New Roman"/>
          <w:i/>
          <w:noProof/>
          <w:sz w:val="28"/>
          <w:szCs w:val="24"/>
        </w:rPr>
        <w:t>(Ban hành kèm theo Quyết định số</w:t>
      </w:r>
      <w:r>
        <w:rPr>
          <w:rFonts w:eastAsia="Times New Roman"/>
          <w:i/>
          <w:noProof/>
          <w:sz w:val="28"/>
          <w:szCs w:val="24"/>
        </w:rPr>
        <w:t xml:space="preserve"> 4128</w:t>
      </w:r>
      <w:r w:rsidRPr="00462C63">
        <w:rPr>
          <w:rFonts w:eastAsia="Times New Roman"/>
          <w:i/>
          <w:noProof/>
          <w:sz w:val="28"/>
          <w:szCs w:val="24"/>
        </w:rPr>
        <w:t xml:space="preserve">/QĐ-BYT ngày </w:t>
      </w:r>
      <w:r>
        <w:rPr>
          <w:rFonts w:eastAsia="Times New Roman"/>
          <w:i/>
          <w:noProof/>
          <w:sz w:val="28"/>
          <w:szCs w:val="24"/>
        </w:rPr>
        <w:t>29/7/2016</w:t>
      </w:r>
    </w:p>
    <w:p w14:paraId="28200088" w14:textId="77777777" w:rsidR="00867BD4" w:rsidRPr="00462C63" w:rsidRDefault="00867BD4" w:rsidP="00867BD4">
      <w:pPr>
        <w:jc w:val="center"/>
        <w:rPr>
          <w:rFonts w:eastAsia="Times New Roman"/>
          <w:i/>
          <w:noProof/>
          <w:sz w:val="28"/>
          <w:szCs w:val="24"/>
        </w:rPr>
      </w:pPr>
      <w:r w:rsidRPr="00462C63">
        <w:rPr>
          <w:rFonts w:eastAsia="Times New Roman"/>
          <w:i/>
          <w:noProof/>
          <w:sz w:val="28"/>
          <w:szCs w:val="24"/>
        </w:rPr>
        <w:t>của Bộ trưởng Bộ Y tế)</w:t>
      </w:r>
    </w:p>
    <w:p w14:paraId="6EC11C4C" w14:textId="77777777" w:rsidR="00867BD4" w:rsidRPr="00462C63" w:rsidRDefault="00867BD4" w:rsidP="00867BD4">
      <w:pPr>
        <w:jc w:val="center"/>
        <w:rPr>
          <w:rFonts w:eastAsia="Times New Roman"/>
          <w:noProof/>
          <w:szCs w:val="24"/>
        </w:rPr>
      </w:pPr>
    </w:p>
    <w:p w14:paraId="016786F9" w14:textId="77777777" w:rsidR="00867BD4" w:rsidRPr="00462C63" w:rsidRDefault="00867BD4" w:rsidP="00867BD4">
      <w:pPr>
        <w:rPr>
          <w:rFonts w:eastAsia="Times New Roman"/>
          <w:noProof/>
          <w:szCs w:val="24"/>
        </w:rPr>
      </w:pPr>
    </w:p>
    <w:p w14:paraId="7BB1BF91" w14:textId="77777777" w:rsidR="00867BD4" w:rsidRPr="00462C63" w:rsidRDefault="00867BD4" w:rsidP="00867BD4">
      <w:pPr>
        <w:rPr>
          <w:rFonts w:eastAsia="Times New Roman"/>
          <w:noProof/>
          <w:szCs w:val="24"/>
        </w:rPr>
      </w:pPr>
    </w:p>
    <w:p w14:paraId="61E04D39" w14:textId="77777777" w:rsidR="00867BD4" w:rsidRPr="00462C63" w:rsidRDefault="00867BD4" w:rsidP="00867BD4">
      <w:pPr>
        <w:rPr>
          <w:rFonts w:eastAsia="Times New Roman"/>
          <w:noProof/>
          <w:sz w:val="26"/>
          <w:szCs w:val="24"/>
        </w:rPr>
      </w:pPr>
    </w:p>
    <w:p w14:paraId="74FF7D9D" w14:textId="77777777" w:rsidR="00867BD4" w:rsidRPr="00462C63" w:rsidRDefault="00867BD4" w:rsidP="00867BD4">
      <w:pPr>
        <w:rPr>
          <w:rFonts w:eastAsia="Times New Roman"/>
          <w:noProof/>
          <w:sz w:val="26"/>
          <w:szCs w:val="24"/>
        </w:rPr>
      </w:pPr>
    </w:p>
    <w:p w14:paraId="0882DE2F" w14:textId="77777777" w:rsidR="00867BD4" w:rsidRPr="00462C63" w:rsidRDefault="00867BD4" w:rsidP="00867BD4">
      <w:pPr>
        <w:rPr>
          <w:rFonts w:eastAsia="Times New Roman"/>
          <w:noProof/>
          <w:sz w:val="26"/>
          <w:szCs w:val="24"/>
        </w:rPr>
      </w:pPr>
    </w:p>
    <w:p w14:paraId="1F926527" w14:textId="77777777" w:rsidR="00867BD4" w:rsidRPr="00462C63" w:rsidRDefault="00867BD4" w:rsidP="00867BD4">
      <w:pPr>
        <w:rPr>
          <w:rFonts w:eastAsia="Times New Roman"/>
          <w:noProof/>
          <w:sz w:val="26"/>
          <w:szCs w:val="24"/>
        </w:rPr>
      </w:pPr>
    </w:p>
    <w:p w14:paraId="4E3F45DC" w14:textId="77777777" w:rsidR="00867BD4" w:rsidRPr="00462C63" w:rsidRDefault="00867BD4" w:rsidP="00867BD4">
      <w:pPr>
        <w:rPr>
          <w:rFonts w:eastAsia="Times New Roman"/>
          <w:noProof/>
          <w:sz w:val="26"/>
          <w:szCs w:val="24"/>
        </w:rPr>
      </w:pPr>
    </w:p>
    <w:p w14:paraId="6C67E7B4" w14:textId="77777777" w:rsidR="00867BD4" w:rsidRPr="00462C63" w:rsidRDefault="00867BD4" w:rsidP="00867BD4">
      <w:pPr>
        <w:ind w:left="1077"/>
        <w:contextualSpacing/>
        <w:rPr>
          <w:rFonts w:eastAsia="Times New Roman"/>
          <w:noProof/>
          <w:sz w:val="26"/>
          <w:szCs w:val="24"/>
        </w:rPr>
      </w:pPr>
    </w:p>
    <w:p w14:paraId="6930DBF9" w14:textId="77777777" w:rsidR="00867BD4" w:rsidRPr="00462C63" w:rsidRDefault="00867BD4" w:rsidP="00867BD4">
      <w:pPr>
        <w:rPr>
          <w:rFonts w:eastAsia="Times New Roman"/>
          <w:noProof/>
          <w:sz w:val="26"/>
          <w:szCs w:val="24"/>
        </w:rPr>
      </w:pPr>
    </w:p>
    <w:p w14:paraId="1273DBC4" w14:textId="77777777" w:rsidR="00867BD4" w:rsidRPr="00462C63" w:rsidRDefault="00867BD4" w:rsidP="00867BD4">
      <w:pPr>
        <w:jc w:val="center"/>
        <w:rPr>
          <w:rFonts w:eastAsia="Times New Roman"/>
          <w:noProof/>
          <w:sz w:val="26"/>
          <w:szCs w:val="24"/>
        </w:rPr>
      </w:pPr>
    </w:p>
    <w:p w14:paraId="01C2AECC" w14:textId="77777777" w:rsidR="00867BD4" w:rsidRPr="00462C63" w:rsidRDefault="00867BD4" w:rsidP="00867BD4">
      <w:pPr>
        <w:jc w:val="center"/>
        <w:rPr>
          <w:rFonts w:eastAsia="Times New Roman"/>
          <w:noProof/>
          <w:szCs w:val="24"/>
        </w:rPr>
      </w:pPr>
    </w:p>
    <w:p w14:paraId="24B86B41" w14:textId="77777777" w:rsidR="00867BD4" w:rsidRPr="00462C63" w:rsidRDefault="00867BD4" w:rsidP="00867BD4">
      <w:pPr>
        <w:jc w:val="center"/>
        <w:rPr>
          <w:rFonts w:eastAsia="Times New Roman"/>
          <w:i/>
          <w:noProof/>
          <w:sz w:val="28"/>
          <w:szCs w:val="24"/>
        </w:rPr>
      </w:pPr>
      <w:r w:rsidRPr="00462C63">
        <w:rPr>
          <w:rFonts w:eastAsia="Times New Roman"/>
          <w:i/>
          <w:noProof/>
          <w:sz w:val="28"/>
          <w:szCs w:val="24"/>
        </w:rPr>
        <w:t>Hà Nội, 2016</w:t>
      </w:r>
    </w:p>
    <w:p w14:paraId="51F7575C" w14:textId="77777777" w:rsidR="00867BD4" w:rsidRPr="00462C63" w:rsidRDefault="00867BD4" w:rsidP="00867BD4">
      <w:pPr>
        <w:spacing w:before="0" w:after="0"/>
        <w:jc w:val="left"/>
        <w:rPr>
          <w:rFonts w:eastAsia="Times New Roman"/>
          <w:i/>
          <w:noProof/>
          <w:sz w:val="28"/>
          <w:szCs w:val="24"/>
        </w:rPr>
      </w:pPr>
      <w:r w:rsidRPr="00462C63">
        <w:rPr>
          <w:rFonts w:eastAsia="Times New Roman"/>
          <w:i/>
          <w:noProof/>
          <w:sz w:val="28"/>
          <w:szCs w:val="24"/>
        </w:rPr>
        <w:br w:type="page"/>
      </w:r>
    </w:p>
    <w:p w14:paraId="59F38AE7" w14:textId="77777777" w:rsidR="00867BD4" w:rsidRPr="00462C63" w:rsidRDefault="00867BD4" w:rsidP="00867BD4">
      <w:pPr>
        <w:pStyle w:val="Title"/>
      </w:pPr>
      <w:bookmarkStart w:id="3" w:name="_Toc243735729"/>
      <w:bookmarkStart w:id="4" w:name="_Toc422422914"/>
      <w:bookmarkStart w:id="5" w:name="_Toc479603760"/>
      <w:r w:rsidRPr="00462C63">
        <w:lastRenderedPageBreak/>
        <w:t xml:space="preserve">QUI TRÌNH VÔ KHUẨN DỤNG CỤ </w:t>
      </w:r>
      <w:r w:rsidRPr="00462C63">
        <w:br/>
        <w:t>TRONG DỊCH VỤ CHĂM SÓC SỨC KHỎE SINH SẢN</w:t>
      </w:r>
      <w:bookmarkEnd w:id="3"/>
      <w:bookmarkEnd w:id="4"/>
      <w:bookmarkEnd w:id="5"/>
    </w:p>
    <w:p w14:paraId="6F24A225" w14:textId="77777777" w:rsidR="00867BD4" w:rsidRPr="00462C63" w:rsidRDefault="00867BD4" w:rsidP="00867BD4">
      <w:pPr>
        <w:rPr>
          <w:noProof/>
          <w:szCs w:val="24"/>
        </w:rPr>
      </w:pPr>
    </w:p>
    <w:p w14:paraId="6B6D6AA9" w14:textId="77777777" w:rsidR="00867BD4" w:rsidRPr="00462C63" w:rsidRDefault="00867BD4" w:rsidP="00867BD4">
      <w:pPr>
        <w:pStyle w:val="Heading1"/>
      </w:pPr>
      <w:r w:rsidRPr="00462C63">
        <w:t>1. Qui trình vô khuẩn dụng cụ.</w:t>
      </w:r>
    </w:p>
    <w:p w14:paraId="5FA1D419" w14:textId="77777777" w:rsidR="00867BD4" w:rsidRPr="00462C63" w:rsidRDefault="00867BD4" w:rsidP="00867BD4">
      <w:pPr>
        <w:pStyle w:val="Heading2"/>
      </w:pPr>
      <w:r w:rsidRPr="00462C63">
        <w:t>1.1. Khử nhiễm dụng cụ.</w:t>
      </w:r>
    </w:p>
    <w:p w14:paraId="5E52A2EA" w14:textId="77777777" w:rsidR="00867BD4" w:rsidRPr="00462C63" w:rsidRDefault="00867BD4" w:rsidP="00867BD4">
      <w:pPr>
        <w:pStyle w:val="ListBullet"/>
      </w:pPr>
      <w:r w:rsidRPr="00462C63">
        <w:t>Khử nhiễm là bước đầu tiên trong qui trình vô khuẩn.</w:t>
      </w:r>
    </w:p>
    <w:p w14:paraId="2340D110" w14:textId="77777777" w:rsidR="00867BD4" w:rsidRPr="00462C63" w:rsidRDefault="00867BD4" w:rsidP="00867BD4">
      <w:pPr>
        <w:pStyle w:val="ListBullet"/>
      </w:pPr>
      <w:r w:rsidRPr="00462C63">
        <w:t>Thiết bị: 1 xô nhựa có quai xách với chiều cao trên 35 cm và một giỏ nhựa có quai hơi nhỏ hơn để lọt vào xô.</w:t>
      </w:r>
    </w:p>
    <w:p w14:paraId="08A1156D" w14:textId="77777777" w:rsidR="00867BD4" w:rsidRPr="00462C63" w:rsidRDefault="00867BD4" w:rsidP="00867BD4">
      <w:pPr>
        <w:pStyle w:val="ListBullet"/>
      </w:pPr>
      <w:r w:rsidRPr="00462C63">
        <w:t>Dung dịch hóa chất để khử nhiễm: dung dịch clorin 0,5% hoặc glutaraldehyd 2%. Dung dịch này sẽ thay sau mỗi buổi làm việc.</w:t>
      </w:r>
    </w:p>
    <w:p w14:paraId="26BFBC6F" w14:textId="77777777" w:rsidR="00867BD4" w:rsidRPr="00462C63" w:rsidRDefault="00867BD4" w:rsidP="00867BD4">
      <w:pPr>
        <w:pStyle w:val="ListBullet"/>
      </w:pPr>
      <w:r w:rsidRPr="00462C63">
        <w:t xml:space="preserve">Dụng cụ sau khi làm thủ thuật, phẫu thuật phải cho ngay vào xô, ngập hết trong dung dịch khử nhiễm, ngâm trong 10 phút. Sau đó đem ra rửa. </w:t>
      </w:r>
    </w:p>
    <w:p w14:paraId="24ACACE4" w14:textId="77777777" w:rsidR="00867BD4" w:rsidRPr="00462C63" w:rsidRDefault="00867BD4" w:rsidP="00867BD4">
      <w:pPr>
        <w:pStyle w:val="Heading2"/>
      </w:pPr>
      <w:r w:rsidRPr="00462C63">
        <w:t>1.2. Làm sạch dụng cụ.</w:t>
      </w:r>
    </w:p>
    <w:p w14:paraId="0F717402" w14:textId="77777777" w:rsidR="00867BD4" w:rsidRPr="00462C63" w:rsidRDefault="00867BD4" w:rsidP="00867BD4">
      <w:pPr>
        <w:pStyle w:val="ListBullet"/>
      </w:pPr>
      <w:r w:rsidRPr="00462C63">
        <w:t>Thiết bị: một chậu nhựa, vòi nước sạch, xà phòng, bàn chải.</w:t>
      </w:r>
    </w:p>
    <w:p w14:paraId="0E7C27A7" w14:textId="77777777" w:rsidR="00867BD4" w:rsidRPr="00462C63" w:rsidRDefault="00867BD4" w:rsidP="00867BD4">
      <w:pPr>
        <w:pStyle w:val="ListBullet"/>
      </w:pPr>
      <w:r w:rsidRPr="00462C63">
        <w:t>Trong khi rửa, người rửa dụng cụ cần đi găng cao su và đeo khẩu trang, đeo kính, đi ủng và mặc tạp dề để tránh lây nhiễm. Dùng bàn chải và xà phòng đánh sạch dụng cụ cho hết máu và tổ chức cơ thể bám lại trên dụng cụ.</w:t>
      </w:r>
    </w:p>
    <w:p w14:paraId="4C09EA9D" w14:textId="77777777" w:rsidR="00867BD4" w:rsidRPr="00462C63" w:rsidRDefault="00867BD4" w:rsidP="00867BD4">
      <w:pPr>
        <w:pStyle w:val="ListBullet"/>
      </w:pPr>
      <w:r w:rsidRPr="00462C63">
        <w:t>Cọ sạch các nơi dễ bám bẩn như răng, khe kẽ của dụng cụ. Sau đó rửa sạch xà phòng và lau khô bằng khăn sạch. Cọ rửa dưới vòi nước chảy hiệu quả hơn cọ rửa trong chậu nước.</w:t>
      </w:r>
    </w:p>
    <w:p w14:paraId="337A64AC" w14:textId="77777777" w:rsidR="00867BD4" w:rsidRPr="00462C63" w:rsidRDefault="00867BD4" w:rsidP="00867BD4">
      <w:pPr>
        <w:pStyle w:val="ListBullet"/>
      </w:pPr>
      <w:r w:rsidRPr="00462C63">
        <w:t>Yêu cầu: máu mủ và các mô bám vào dụng cụ như rau thai, mỡ, cơ... không còn dính lại trên dụng cụ.</w:t>
      </w:r>
    </w:p>
    <w:p w14:paraId="7974F9F1" w14:textId="77777777" w:rsidR="00867BD4" w:rsidRPr="00462C63" w:rsidRDefault="00867BD4" w:rsidP="00867BD4">
      <w:pPr>
        <w:pStyle w:val="Heading2"/>
      </w:pPr>
      <w:r w:rsidRPr="00462C63">
        <w:t>1.3. Khử khuẩn mức độ cao.</w:t>
      </w:r>
    </w:p>
    <w:p w14:paraId="17A57C21" w14:textId="77777777" w:rsidR="00867BD4" w:rsidRPr="00462C63" w:rsidRDefault="00867BD4" w:rsidP="00867BD4">
      <w:pPr>
        <w:rPr>
          <w:noProof/>
          <w:szCs w:val="24"/>
        </w:rPr>
      </w:pPr>
      <w:r w:rsidRPr="00462C63">
        <w:rPr>
          <w:noProof/>
          <w:szCs w:val="24"/>
        </w:rPr>
        <w:t>Có hai cách:</w:t>
      </w:r>
    </w:p>
    <w:p w14:paraId="4297AEEB" w14:textId="77777777" w:rsidR="00867BD4" w:rsidRPr="00462C63" w:rsidRDefault="00867BD4" w:rsidP="00867BD4">
      <w:pPr>
        <w:pStyle w:val="ListBullet"/>
      </w:pPr>
      <w:r w:rsidRPr="00462C63">
        <w:t>Khử khuẩn bằng luộc dụng cụ.</w:t>
      </w:r>
    </w:p>
    <w:p w14:paraId="501E384C" w14:textId="77777777" w:rsidR="00867BD4" w:rsidRPr="00462C63" w:rsidRDefault="00867BD4" w:rsidP="00867BD4">
      <w:pPr>
        <w:pStyle w:val="ListBullet"/>
      </w:pPr>
      <w:r w:rsidRPr="00462C63">
        <w:t>Khử khuẩn bằng hóa chất.</w:t>
      </w:r>
    </w:p>
    <w:p w14:paraId="3262AE07" w14:textId="77777777" w:rsidR="00867BD4" w:rsidRPr="00462C63" w:rsidRDefault="00867BD4" w:rsidP="00867BD4">
      <w:pPr>
        <w:pStyle w:val="Heading3"/>
      </w:pPr>
      <w:r w:rsidRPr="00462C63">
        <w:t>1.3.1. Luộc dụng cụ.</w:t>
      </w:r>
    </w:p>
    <w:p w14:paraId="0EBB0409" w14:textId="77777777" w:rsidR="00867BD4" w:rsidRPr="00462C63" w:rsidRDefault="00867BD4" w:rsidP="00867BD4">
      <w:pPr>
        <w:pStyle w:val="ListBullet"/>
      </w:pPr>
      <w:r w:rsidRPr="00462C63">
        <w:t>Thiết bị: hộp luộc dụng cụ bằng kim loại có nắp đậy kín, đủ lớn để chứa dụng cụ, dưới hộp có hệ thống bếp điện hoặc sử dụng một bếp riêng (điện, ga hoặc dầu).</w:t>
      </w:r>
    </w:p>
    <w:p w14:paraId="3796774E" w14:textId="77777777" w:rsidR="00867BD4" w:rsidRPr="00462C63" w:rsidRDefault="00867BD4" w:rsidP="00867BD4">
      <w:pPr>
        <w:pStyle w:val="ListBullet"/>
      </w:pPr>
      <w:r w:rsidRPr="00462C63">
        <w:t>Yêu cầu: dụng cụ đã rửa sạch cho vào hộp luộc, đổ nước sạch vào hộp sao cho ngập các dụng cụ. Khi nước sôi, duy trì trong 20 phút, vớt dụng cụ dùng ngay không được để lâu.</w:t>
      </w:r>
    </w:p>
    <w:p w14:paraId="226BC15B" w14:textId="77777777" w:rsidR="00867BD4" w:rsidRPr="00462C63" w:rsidRDefault="00867BD4" w:rsidP="00867BD4">
      <w:pPr>
        <w:pStyle w:val="Heading3"/>
      </w:pPr>
      <w:r w:rsidRPr="00462C63">
        <w:t>1.3.2. Khử khuẩn mức độ cao bằng hóa chất.</w:t>
      </w:r>
    </w:p>
    <w:p w14:paraId="1AE5879E" w14:textId="77777777" w:rsidR="00867BD4" w:rsidRPr="00462C63" w:rsidRDefault="00867BD4" w:rsidP="00867BD4">
      <w:pPr>
        <w:rPr>
          <w:noProof/>
          <w:szCs w:val="24"/>
        </w:rPr>
      </w:pPr>
      <w:r w:rsidRPr="00462C63">
        <w:rPr>
          <w:noProof/>
          <w:szCs w:val="24"/>
        </w:rPr>
        <w:tab/>
        <w:t>Ngâm dụng cụ vào dung dịch khử khuẩn (</w:t>
      </w:r>
      <w:r w:rsidRPr="00462C63">
        <w:rPr>
          <w:noProof/>
        </w:rPr>
        <w:t>glutaraldehyd 2% hoặc dung dịch clorin 0,5%</w:t>
      </w:r>
      <w:r w:rsidRPr="00462C63">
        <w:rPr>
          <w:noProof/>
          <w:szCs w:val="24"/>
        </w:rPr>
        <w:t>) trong 20 phút sau đó tráng sạch bằng nước đun sôi để nguội.</w:t>
      </w:r>
    </w:p>
    <w:p w14:paraId="72907DC7" w14:textId="77777777" w:rsidR="00867BD4" w:rsidRPr="00462C63" w:rsidRDefault="00867BD4" w:rsidP="00867BD4">
      <w:pPr>
        <w:pStyle w:val="Heading2"/>
      </w:pPr>
      <w:r w:rsidRPr="00462C63">
        <w:t>1.4. Tiệt khuẩn.</w:t>
      </w:r>
    </w:p>
    <w:p w14:paraId="2C364324" w14:textId="77777777" w:rsidR="00867BD4" w:rsidRPr="00462C63" w:rsidRDefault="00867BD4" w:rsidP="00867BD4">
      <w:pPr>
        <w:pStyle w:val="Heading3"/>
      </w:pPr>
      <w:r w:rsidRPr="00462C63">
        <w:t>1.4.1. Hấp ướt áp lực cao.</w:t>
      </w:r>
    </w:p>
    <w:p w14:paraId="38BA7BB1" w14:textId="77777777" w:rsidR="00867BD4" w:rsidRPr="00462C63" w:rsidRDefault="00867BD4" w:rsidP="00867BD4">
      <w:pPr>
        <w:pStyle w:val="ListBullet"/>
      </w:pPr>
      <w:r w:rsidRPr="00462C63">
        <w:t>Phương pháp này dùng cho tất cả các loại dụng cụ y tế trừ đồ nhựa (bơm và ống hút thai, catheter...). Đồ vải và đồ cao su phải hấp riêng, vì nhiệt độ, áp suất, thời gian hấp hai loại đó khác nhau.</w:t>
      </w:r>
    </w:p>
    <w:p w14:paraId="6528174E" w14:textId="77777777" w:rsidR="00867BD4" w:rsidRPr="00462C63" w:rsidRDefault="00867BD4" w:rsidP="00867BD4">
      <w:pPr>
        <w:pStyle w:val="ListBullet"/>
      </w:pPr>
      <w:r w:rsidRPr="00462C63">
        <w:t>Thiết bị: nồi hấp ướt áp lực các loại.</w:t>
      </w:r>
    </w:p>
    <w:p w14:paraId="4E12FBA7" w14:textId="77777777" w:rsidR="00867BD4" w:rsidRPr="00462C63" w:rsidRDefault="00867BD4" w:rsidP="00867BD4">
      <w:pPr>
        <w:pStyle w:val="ListBullet"/>
      </w:pPr>
      <w:r w:rsidRPr="00462C63">
        <w:lastRenderedPageBreak/>
        <w:t>Yêu cầu: khi nhiệt độ lên tới 121</w:t>
      </w:r>
      <w:r w:rsidRPr="00462C63">
        <w:rPr>
          <w:vertAlign w:val="superscript"/>
        </w:rPr>
        <w:t>o</w:t>
      </w:r>
      <w:r w:rsidRPr="00462C63">
        <w:t>C (áp lực 1,2 kg/cm</w:t>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softHyphen/>
      </w:r>
      <w:r w:rsidRPr="00462C63">
        <w:softHyphen/>
      </w:r>
      <w:r w:rsidRPr="00462C63">
        <w:softHyphen/>
      </w:r>
      <w:r w:rsidRPr="00462C63">
        <w:rPr>
          <w:vertAlign w:val="superscript"/>
        </w:rPr>
        <w:t>2</w:t>
      </w:r>
      <w:r w:rsidRPr="00462C63">
        <w:softHyphen/>
      </w:r>
      <w:r w:rsidRPr="00462C63">
        <w:softHyphen/>
      </w:r>
      <w:r w:rsidRPr="00462C63">
        <w:softHyphen/>
      </w:r>
      <w:r w:rsidRPr="00462C63">
        <w:softHyphen/>
      </w:r>
      <w:r w:rsidRPr="00462C63">
        <w:softHyphen/>
      </w:r>
      <w:r w:rsidRPr="00462C63">
        <w:softHyphen/>
      </w:r>
      <w:r w:rsidRPr="00462C63">
        <w:softHyphen/>
      </w:r>
      <w:r w:rsidRPr="00462C63">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rPr>
          <w:vertAlign w:val="subscript"/>
        </w:rPr>
        <w:softHyphen/>
      </w:r>
      <w:r w:rsidRPr="00462C63">
        <w:t>) đối với dụng cụ đóng gói phải duy trì nhiệt độ như vậy trong 30 phút. Đối với dụng cụ không đóng gói chỉ cần duy trì  20 phút.</w:t>
      </w:r>
    </w:p>
    <w:p w14:paraId="494D1A39" w14:textId="77777777" w:rsidR="00867BD4" w:rsidRPr="00462C63" w:rsidRDefault="00867BD4" w:rsidP="00867BD4">
      <w:pPr>
        <w:pStyle w:val="Heading3"/>
      </w:pPr>
      <w:r w:rsidRPr="00462C63">
        <w:t>1.4.2. Sấy khô.</w:t>
      </w:r>
    </w:p>
    <w:p w14:paraId="2DF3CD68" w14:textId="77777777" w:rsidR="00867BD4" w:rsidRPr="00462C63" w:rsidRDefault="00867BD4" w:rsidP="00867BD4">
      <w:pPr>
        <w:pStyle w:val="ListBullet"/>
      </w:pPr>
      <w:r w:rsidRPr="00462C63">
        <w:t>Phương pháp này chỉ dùng cho các dụng cụ y tế bằng kim loại.</w:t>
      </w:r>
    </w:p>
    <w:p w14:paraId="7D1BDA4E" w14:textId="77777777" w:rsidR="00867BD4" w:rsidRPr="00462C63" w:rsidRDefault="00867BD4" w:rsidP="00867BD4">
      <w:pPr>
        <w:pStyle w:val="ListBullet"/>
      </w:pPr>
      <w:r w:rsidRPr="00462C63">
        <w:t>Thiết bị là tủ sấy khô.</w:t>
      </w:r>
    </w:p>
    <w:p w14:paraId="3092E623" w14:textId="77777777" w:rsidR="00867BD4" w:rsidRPr="00462C63" w:rsidRDefault="00867BD4" w:rsidP="00867BD4">
      <w:pPr>
        <w:pStyle w:val="ListBullet"/>
      </w:pPr>
      <w:r w:rsidRPr="00462C63">
        <w:t xml:space="preserve">Yêu cầu: </w:t>
      </w:r>
    </w:p>
    <w:p w14:paraId="0E9393AD" w14:textId="77777777" w:rsidR="00867BD4" w:rsidRPr="00462C63" w:rsidRDefault="00867BD4" w:rsidP="00867BD4">
      <w:pPr>
        <w:pStyle w:val="ListBullet2"/>
      </w:pPr>
      <w:r w:rsidRPr="00462C63">
        <w:t>Nếu nhiệt độ 170</w:t>
      </w:r>
      <w:r w:rsidRPr="00462C63">
        <w:rPr>
          <w:vertAlign w:val="superscript"/>
        </w:rPr>
        <w:t>o</w:t>
      </w:r>
      <w:r w:rsidRPr="00462C63">
        <w:t xml:space="preserve">C phải duy trì 60 phút. </w:t>
      </w:r>
    </w:p>
    <w:p w14:paraId="4E9507D9" w14:textId="77777777" w:rsidR="00867BD4" w:rsidRPr="00462C63" w:rsidRDefault="00867BD4" w:rsidP="00867BD4">
      <w:pPr>
        <w:pStyle w:val="ListBullet2"/>
      </w:pPr>
      <w:r w:rsidRPr="00462C63">
        <w:t>Nếu nhiệt độ 160</w:t>
      </w:r>
      <w:r w:rsidRPr="00462C63">
        <w:rPr>
          <w:vertAlign w:val="superscript"/>
        </w:rPr>
        <w:t>o</w:t>
      </w:r>
      <w:r w:rsidRPr="00462C63">
        <w:t>C phải duy trì 120 phút.</w:t>
      </w:r>
    </w:p>
    <w:p w14:paraId="465AEBEB" w14:textId="77777777" w:rsidR="00867BD4" w:rsidRPr="00462C63" w:rsidRDefault="00867BD4" w:rsidP="00867BD4">
      <w:pPr>
        <w:tabs>
          <w:tab w:val="left" w:pos="-605"/>
        </w:tabs>
        <w:rPr>
          <w:noProof/>
          <w:szCs w:val="24"/>
        </w:rPr>
      </w:pPr>
      <w:r w:rsidRPr="00462C63">
        <w:rPr>
          <w:i/>
          <w:noProof/>
          <w:szCs w:val="24"/>
          <w:u w:val="single"/>
        </w:rPr>
        <w:t>Ghi chú</w:t>
      </w:r>
      <w:r w:rsidRPr="00462C63">
        <w:rPr>
          <w:i/>
          <w:noProof/>
          <w:szCs w:val="24"/>
        </w:rPr>
        <w:t>:</w:t>
      </w:r>
      <w:r w:rsidRPr="00462C63">
        <w:rPr>
          <w:noProof/>
          <w:szCs w:val="24"/>
        </w:rPr>
        <w:t xml:space="preserve"> Cách kiểm tra dụng cụ sấy, hấp đã đạt nhiệt độ cần thiết hay chưa bằng cách sau:</w:t>
      </w:r>
    </w:p>
    <w:p w14:paraId="29197947" w14:textId="77777777" w:rsidR="00867BD4" w:rsidRPr="00462C63" w:rsidRDefault="00867BD4" w:rsidP="00867BD4">
      <w:pPr>
        <w:pStyle w:val="ListBullet2"/>
      </w:pPr>
      <w:r w:rsidRPr="00462C63">
        <w:t>Trước khi hấp, sấy, dán một giấy báo hiệu an toàn (trắng) vào hộp hay gói đồ.</w:t>
      </w:r>
    </w:p>
    <w:p w14:paraId="514E69A4" w14:textId="77777777" w:rsidR="00867BD4" w:rsidRPr="00462C63" w:rsidRDefault="00867BD4" w:rsidP="00867BD4">
      <w:pPr>
        <w:pStyle w:val="ListBullet2"/>
      </w:pPr>
      <w:r w:rsidRPr="00462C63">
        <w:t>Sau khi đã hấp hoặc sấy xong nếu giấy báo hiệu đó đổi mầu (đen) là dụng cụ hấp sấy đạt yêu cầu về nhiệt độ.</w:t>
      </w:r>
    </w:p>
    <w:p w14:paraId="4837920B" w14:textId="77777777" w:rsidR="00867BD4" w:rsidRPr="00462C63" w:rsidRDefault="00867BD4" w:rsidP="00867BD4">
      <w:pPr>
        <w:pStyle w:val="ListBullet2"/>
      </w:pPr>
      <w:r w:rsidRPr="00462C63">
        <w:t>Dụng cụ sau khi sấy, hấp phải dán nhãn ghi rõ ngày và tên người hấp sấy vào nắp hộp và gói đó.</w:t>
      </w:r>
    </w:p>
    <w:p w14:paraId="16EA8531" w14:textId="77777777" w:rsidR="00867BD4" w:rsidRPr="00462C63" w:rsidRDefault="00867BD4" w:rsidP="00867BD4">
      <w:pPr>
        <w:pStyle w:val="Heading3"/>
      </w:pPr>
      <w:r w:rsidRPr="00462C63">
        <w:t>1.4.3. Tiệt khuẩn bằng hóa chất.</w:t>
      </w:r>
    </w:p>
    <w:p w14:paraId="3E04706F" w14:textId="77777777" w:rsidR="00867BD4" w:rsidRPr="00462C63" w:rsidRDefault="00867BD4" w:rsidP="00867BD4">
      <w:pPr>
        <w:pStyle w:val="ListBullet"/>
      </w:pPr>
      <w:r w:rsidRPr="00462C63">
        <w:t>Ngâm trong dung dịch hóa chất (glutaraldehyd 2%, không được dùng dung dịch clorin 5%) trong 10 giờ các dụng cụ bằng nhựa như ống thông (sonde), ống hút thai... Dụng cụ vớt ra phải rửa bằng nước tiệt khuẩn, để trong hộp kim loại đã tiệt khuẩn, nắp có dán nhãn, ghi ngày và tên người đã tiệt khuẩn.</w:t>
      </w:r>
    </w:p>
    <w:p w14:paraId="4B5A1EAD" w14:textId="77777777" w:rsidR="00867BD4" w:rsidRPr="00462C63" w:rsidRDefault="00867BD4" w:rsidP="00867BD4">
      <w:pPr>
        <w:pStyle w:val="ListBullet"/>
      </w:pPr>
      <w:r w:rsidRPr="00462C63">
        <w:t>Đối với những dụng cụ không cần tiệt khuẩn thì chỉ ngâm trong 20 phút để khử khuẩn mức độ cao.</w:t>
      </w:r>
    </w:p>
    <w:p w14:paraId="5B57B035" w14:textId="77777777" w:rsidR="00867BD4" w:rsidRPr="00462C63" w:rsidRDefault="00867BD4" w:rsidP="00867BD4">
      <w:pPr>
        <w:pStyle w:val="Heading1"/>
      </w:pPr>
      <w:r w:rsidRPr="00462C63">
        <w:t>2. Bảo quản dụng cụ đã vô khuẩn.</w:t>
      </w:r>
    </w:p>
    <w:p w14:paraId="4E0FC788" w14:textId="77777777" w:rsidR="00867BD4" w:rsidRPr="00462C63" w:rsidRDefault="00867BD4" w:rsidP="00867BD4">
      <w:pPr>
        <w:pStyle w:val="ListBullet"/>
      </w:pPr>
      <w:r w:rsidRPr="00462C63">
        <w:t>Nơi bảo quản dụng cụ đã vô khuẩn phải sạch sẽ, khô ráo, có cửa đóng kín.</w:t>
      </w:r>
    </w:p>
    <w:p w14:paraId="4E6683EC" w14:textId="77777777" w:rsidR="00867BD4" w:rsidRPr="00462C63" w:rsidRDefault="00867BD4" w:rsidP="00867BD4">
      <w:pPr>
        <w:pStyle w:val="ListBullet"/>
      </w:pPr>
      <w:r w:rsidRPr="00462C63">
        <w:t>Có giá, kệ và tủ đựng dụng cụ, có sổ sách ghi chép tên dụng cụ, ngày xử lý vô khuẩn, ngày nhập, xuất dụng cụ (chú ý nguyên tắc nhập trước xuất trước).</w:t>
      </w:r>
    </w:p>
    <w:p w14:paraId="4DDFD491" w14:textId="77777777" w:rsidR="00867BD4" w:rsidRPr="00462C63" w:rsidRDefault="00867BD4" w:rsidP="00867BD4">
      <w:pPr>
        <w:pStyle w:val="ListBullet"/>
      </w:pPr>
      <w:r w:rsidRPr="00462C63">
        <w:t>Không để lẫn dụng cụ đã tiệt khuẩn với dụng cụ chưa tiệt khuẩn.</w:t>
      </w:r>
    </w:p>
    <w:p w14:paraId="1EEAA4BB" w14:textId="77777777" w:rsidR="00867BD4" w:rsidRPr="00462C63" w:rsidRDefault="00867BD4" w:rsidP="00867BD4">
      <w:pPr>
        <w:pStyle w:val="ListBullet"/>
      </w:pPr>
      <w:r w:rsidRPr="00462C63">
        <w:t>Thời gian bảo quản:</w:t>
      </w:r>
    </w:p>
    <w:p w14:paraId="2ABE5C8C" w14:textId="77777777" w:rsidR="00867BD4" w:rsidRPr="00462C63" w:rsidRDefault="00867BD4" w:rsidP="00867BD4">
      <w:pPr>
        <w:pStyle w:val="ListBullet2"/>
      </w:pPr>
      <w:r w:rsidRPr="00462C63">
        <w:t>Không bảo quản những dụng cụ tiệt khuẩn mà không đóng gói (loại này cần phải dùng ngay sau khi tiệt khuẩn).</w:t>
      </w:r>
    </w:p>
    <w:p w14:paraId="63F12CB1" w14:textId="77777777" w:rsidR="00867BD4" w:rsidRPr="00462C63" w:rsidRDefault="00867BD4" w:rsidP="00867BD4">
      <w:pPr>
        <w:pStyle w:val="ListBullet2"/>
      </w:pPr>
      <w:r w:rsidRPr="00462C63">
        <w:t>Dụng cụ đã khử khuẩn cao chỉ được sử dụng trong vòng 3 ngày. Riêng dụng cụ luộc chỉ dùng trong vòng 24 giờ.</w:t>
      </w:r>
    </w:p>
    <w:p w14:paraId="364C673B" w14:textId="77777777" w:rsidR="00867BD4" w:rsidRPr="00462C63" w:rsidRDefault="00867BD4" w:rsidP="00867BD4">
      <w:pPr>
        <w:pStyle w:val="ListBullet2"/>
      </w:pPr>
      <w:r w:rsidRPr="00462C63">
        <w:t>Những dụng cụ tiệt khuẩn được đóng gói hoặc đặt trong hộp tiệt khuẩn, được bảo quản một tuần, sau một tuần nếu chưa dùng cần phải hấp sấy lại.</w:t>
      </w:r>
    </w:p>
    <w:p w14:paraId="2C210F9C" w14:textId="77777777" w:rsidR="00867BD4" w:rsidRPr="00462C63" w:rsidRDefault="00867BD4" w:rsidP="00867BD4">
      <w:pPr>
        <w:pStyle w:val="ListBullet2"/>
      </w:pPr>
      <w:r w:rsidRPr="00462C63">
        <w:t xml:space="preserve">Những hộp dụng cụ đã mở ra dùng, nếu dụng cụ bên trong chưa dùng hết thì sau 24 giờ phải đưa đi sấy hấp lại. </w:t>
      </w:r>
    </w:p>
    <w:p w14:paraId="0B60B0F6" w14:textId="77777777" w:rsidR="00867BD4" w:rsidRPr="00462C63" w:rsidRDefault="00867BD4" w:rsidP="00867BD4">
      <w:pPr>
        <w:pStyle w:val="ListBullet2"/>
      </w:pPr>
      <w:r w:rsidRPr="00462C63">
        <w:t>Khi vận chuyển dụng cụ đã tiệt khuẩn từ nơi bảo quản đến phòng thủ thuật, phẫu thuật, phải che đậy để tránh nhiễm bẩn.</w:t>
      </w:r>
    </w:p>
    <w:p w14:paraId="17718651" w14:textId="77777777" w:rsidR="00867BD4" w:rsidRPr="00462C63" w:rsidRDefault="00867BD4" w:rsidP="00867BD4">
      <w:pPr>
        <w:spacing w:before="0" w:after="0"/>
        <w:jc w:val="left"/>
      </w:pPr>
      <w:r w:rsidRPr="00462C63">
        <w:br w:type="page"/>
      </w:r>
    </w:p>
    <w:p w14:paraId="03E7429F" w14:textId="77777777" w:rsidR="00867BD4" w:rsidRDefault="00867BD4"/>
    <w:sectPr w:rsidR="00867B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2F3C" w14:textId="77777777" w:rsidR="00867BD4" w:rsidRDefault="00867BD4" w:rsidP="00867BD4">
      <w:pPr>
        <w:spacing w:before="0" w:after="0"/>
      </w:pPr>
      <w:r>
        <w:separator/>
      </w:r>
    </w:p>
  </w:endnote>
  <w:endnote w:type="continuationSeparator" w:id="0">
    <w:p w14:paraId="34BE956E" w14:textId="77777777" w:rsidR="00867BD4" w:rsidRDefault="00867BD4" w:rsidP="00867B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254577"/>
      <w:docPartObj>
        <w:docPartGallery w:val="Page Numbers (Bottom of Page)"/>
        <w:docPartUnique/>
      </w:docPartObj>
    </w:sdtPr>
    <w:sdtEndPr>
      <w:rPr>
        <w:noProof/>
      </w:rPr>
    </w:sdtEndPr>
    <w:sdtContent>
      <w:p w14:paraId="5B51654A" w14:textId="27051B98" w:rsidR="00867BD4" w:rsidRDefault="00867B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49BCD" w14:textId="77777777" w:rsidR="00867BD4" w:rsidRDefault="0086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F226" w14:textId="77777777" w:rsidR="00867BD4" w:rsidRDefault="00867BD4" w:rsidP="00867BD4">
      <w:pPr>
        <w:spacing w:before="0" w:after="0"/>
      </w:pPr>
      <w:r>
        <w:separator/>
      </w:r>
    </w:p>
  </w:footnote>
  <w:footnote w:type="continuationSeparator" w:id="0">
    <w:p w14:paraId="034FC81A" w14:textId="77777777" w:rsidR="00867BD4" w:rsidRDefault="00867BD4" w:rsidP="00867B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14F9"/>
    <w:multiLevelType w:val="hybridMultilevel"/>
    <w:tmpl w:val="33E2DB6C"/>
    <w:lvl w:ilvl="0" w:tplc="7226AFF6">
      <w:start w:val="1"/>
      <w:numFmt w:val="bullet"/>
      <w:pStyle w:val="ListBullet2"/>
      <w:lvlText w:val=""/>
      <w:lvlJc w:val="left"/>
      <w:pPr>
        <w:ind w:left="7590" w:hanging="360"/>
      </w:pPr>
      <w:rPr>
        <w:rFonts w:ascii="Symbol" w:hAnsi="Symbol" w:hint="default"/>
      </w:rPr>
    </w:lvl>
    <w:lvl w:ilvl="1" w:tplc="8A64B764">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 w15:restartNumberingAfterBreak="0">
    <w:nsid w:val="235371D1"/>
    <w:multiLevelType w:val="singleLevel"/>
    <w:tmpl w:val="924265E6"/>
    <w:lvl w:ilvl="0">
      <w:start w:val="1"/>
      <w:numFmt w:val="bullet"/>
      <w:pStyle w:val="ListBullet"/>
      <w:lvlText w:val="-"/>
      <w:lvlJc w:val="left"/>
      <w:pPr>
        <w:tabs>
          <w:tab w:val="num" w:pos="360"/>
        </w:tabs>
        <w:ind w:left="360" w:hanging="360"/>
      </w:pPr>
      <w:rPr>
        <w:rFonts w:ascii="Times New Roman" w:hAnsi="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D4"/>
    <w:rsid w:val="00867BD4"/>
    <w:rsid w:val="00D11256"/>
    <w:rsid w:val="00E9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93F7"/>
  <w15:chartTrackingRefBased/>
  <w15:docId w15:val="{0B98040B-E891-401A-91B8-45486D76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BD4"/>
    <w:pPr>
      <w:spacing w:before="60" w:after="60" w:line="240"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BD4"/>
    <w:pPr>
      <w:keepNext/>
      <w:tabs>
        <w:tab w:val="left" w:pos="0"/>
      </w:tabs>
      <w:spacing w:before="120" w:after="120"/>
      <w:outlineLvl w:val="0"/>
    </w:pPr>
    <w:rPr>
      <w:rFonts w:eastAsia="Times New Roman"/>
      <w:b/>
      <w:noProof/>
      <w:kern w:val="28"/>
      <w:sz w:val="26"/>
      <w:szCs w:val="24"/>
    </w:rPr>
  </w:style>
  <w:style w:type="paragraph" w:styleId="Heading2">
    <w:name w:val="heading 2"/>
    <w:basedOn w:val="Normal"/>
    <w:next w:val="Normal"/>
    <w:link w:val="Heading2Char"/>
    <w:qFormat/>
    <w:rsid w:val="00867BD4"/>
    <w:pPr>
      <w:keepNext/>
      <w:tabs>
        <w:tab w:val="left" w:pos="0"/>
      </w:tabs>
      <w:outlineLvl w:val="1"/>
    </w:pPr>
    <w:rPr>
      <w:rFonts w:eastAsia="Times New Roman"/>
      <w:b/>
      <w:i/>
      <w:noProof/>
      <w:szCs w:val="24"/>
    </w:rPr>
  </w:style>
  <w:style w:type="paragraph" w:styleId="Heading3">
    <w:name w:val="heading 3"/>
    <w:basedOn w:val="Normal"/>
    <w:next w:val="Normal"/>
    <w:link w:val="Heading3Char"/>
    <w:qFormat/>
    <w:rsid w:val="00867BD4"/>
    <w:pPr>
      <w:keepNext/>
      <w:tabs>
        <w:tab w:val="left" w:pos="0"/>
      </w:tabs>
      <w:outlineLvl w:val="2"/>
    </w:pPr>
    <w:rPr>
      <w:rFonts w:eastAsia="Times New Roman"/>
      <w:i/>
      <w:iC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BD4"/>
    <w:rPr>
      <w:rFonts w:ascii="Times New Roman" w:eastAsia="Times New Roman" w:hAnsi="Times New Roman" w:cs="Times New Roman"/>
      <w:b/>
      <w:noProof/>
      <w:kern w:val="28"/>
      <w:sz w:val="26"/>
      <w:szCs w:val="24"/>
    </w:rPr>
  </w:style>
  <w:style w:type="character" w:customStyle="1" w:styleId="Heading2Char">
    <w:name w:val="Heading 2 Char"/>
    <w:basedOn w:val="DefaultParagraphFont"/>
    <w:link w:val="Heading2"/>
    <w:rsid w:val="00867BD4"/>
    <w:rPr>
      <w:rFonts w:ascii="Times New Roman" w:eastAsia="Times New Roman" w:hAnsi="Times New Roman" w:cs="Times New Roman"/>
      <w:b/>
      <w:i/>
      <w:noProof/>
      <w:sz w:val="24"/>
      <w:szCs w:val="24"/>
    </w:rPr>
  </w:style>
  <w:style w:type="character" w:customStyle="1" w:styleId="Heading3Char">
    <w:name w:val="Heading 3 Char"/>
    <w:basedOn w:val="DefaultParagraphFont"/>
    <w:link w:val="Heading3"/>
    <w:rsid w:val="00867BD4"/>
    <w:rPr>
      <w:rFonts w:ascii="Times New Roman" w:eastAsia="Times New Roman" w:hAnsi="Times New Roman" w:cs="Times New Roman"/>
      <w:i/>
      <w:iCs/>
      <w:noProof/>
      <w:sz w:val="24"/>
      <w:szCs w:val="24"/>
    </w:rPr>
  </w:style>
  <w:style w:type="paragraph" w:styleId="ListBullet2">
    <w:name w:val="List Bullet 2"/>
    <w:basedOn w:val="ListBullet"/>
    <w:qFormat/>
    <w:rsid w:val="00867BD4"/>
    <w:pPr>
      <w:numPr>
        <w:numId w:val="2"/>
      </w:numPr>
      <w:spacing w:before="0" w:after="0"/>
      <w:ind w:left="714" w:hanging="357"/>
    </w:pPr>
    <w:rPr>
      <w:szCs w:val="28"/>
    </w:rPr>
  </w:style>
  <w:style w:type="paragraph" w:styleId="ListBullet">
    <w:name w:val="List Bullet"/>
    <w:aliases w:val="List Bullet in chart text"/>
    <w:basedOn w:val="Normal"/>
    <w:qFormat/>
    <w:rsid w:val="00867BD4"/>
    <w:pPr>
      <w:numPr>
        <w:numId w:val="1"/>
      </w:numPr>
      <w:outlineLvl w:val="0"/>
    </w:pPr>
    <w:rPr>
      <w:rFonts w:eastAsia="Times New Roman"/>
      <w:noProof/>
      <w:szCs w:val="26"/>
    </w:rPr>
  </w:style>
  <w:style w:type="paragraph" w:styleId="Title">
    <w:name w:val="Title"/>
    <w:basedOn w:val="Normal"/>
    <w:link w:val="TitleChar"/>
    <w:qFormat/>
    <w:rsid w:val="00867BD4"/>
    <w:pPr>
      <w:spacing w:before="240" w:after="240"/>
      <w:jc w:val="center"/>
    </w:pPr>
    <w:rPr>
      <w:rFonts w:ascii="Verdana" w:eastAsia="Times New Roman" w:hAnsi="Verdana" w:cs=".VnTime"/>
      <w:b/>
      <w:bCs/>
      <w:noProof/>
      <w:sz w:val="28"/>
      <w:szCs w:val="24"/>
    </w:rPr>
  </w:style>
  <w:style w:type="character" w:customStyle="1" w:styleId="TitleChar">
    <w:name w:val="Title Char"/>
    <w:basedOn w:val="DefaultParagraphFont"/>
    <w:link w:val="Title"/>
    <w:rsid w:val="00867BD4"/>
    <w:rPr>
      <w:rFonts w:ascii="Verdana" w:eastAsia="Times New Roman" w:hAnsi="Verdana" w:cs=".VnTime"/>
      <w:b/>
      <w:bCs/>
      <w:noProof/>
      <w:sz w:val="28"/>
      <w:szCs w:val="24"/>
    </w:rPr>
  </w:style>
  <w:style w:type="paragraph" w:customStyle="1" w:styleId="Chapter">
    <w:name w:val="Chapter"/>
    <w:basedOn w:val="Normal"/>
    <w:autoRedefine/>
    <w:qFormat/>
    <w:rsid w:val="00867BD4"/>
    <w:pPr>
      <w:pBdr>
        <w:bottom w:val="single" w:sz="4" w:space="1" w:color="auto"/>
      </w:pBdr>
      <w:tabs>
        <w:tab w:val="left" w:pos="0"/>
      </w:tabs>
      <w:spacing w:line="360" w:lineRule="auto"/>
      <w:contextualSpacing/>
      <w:jc w:val="center"/>
      <w:outlineLvl w:val="0"/>
    </w:pPr>
    <w:rPr>
      <w:rFonts w:ascii="Verdana" w:eastAsia="Times New Roman" w:hAnsi="Verdana"/>
      <w:b/>
      <w:bCs/>
      <w:noProof/>
      <w:sz w:val="44"/>
      <w:szCs w:val="24"/>
    </w:rPr>
  </w:style>
  <w:style w:type="paragraph" w:styleId="Header">
    <w:name w:val="header"/>
    <w:basedOn w:val="Normal"/>
    <w:link w:val="HeaderChar"/>
    <w:uiPriority w:val="99"/>
    <w:unhideWhenUsed/>
    <w:rsid w:val="00867BD4"/>
    <w:pPr>
      <w:tabs>
        <w:tab w:val="center" w:pos="4680"/>
        <w:tab w:val="right" w:pos="9360"/>
      </w:tabs>
      <w:spacing w:before="0" w:after="0"/>
    </w:pPr>
  </w:style>
  <w:style w:type="character" w:customStyle="1" w:styleId="HeaderChar">
    <w:name w:val="Header Char"/>
    <w:basedOn w:val="DefaultParagraphFont"/>
    <w:link w:val="Header"/>
    <w:uiPriority w:val="99"/>
    <w:rsid w:val="00867BD4"/>
    <w:rPr>
      <w:rFonts w:ascii="Times New Roman" w:eastAsia="Calibri" w:hAnsi="Times New Roman" w:cs="Times New Roman"/>
      <w:sz w:val="24"/>
    </w:rPr>
  </w:style>
  <w:style w:type="paragraph" w:styleId="Footer">
    <w:name w:val="footer"/>
    <w:basedOn w:val="Normal"/>
    <w:link w:val="FooterChar"/>
    <w:uiPriority w:val="99"/>
    <w:unhideWhenUsed/>
    <w:rsid w:val="00867BD4"/>
    <w:pPr>
      <w:tabs>
        <w:tab w:val="center" w:pos="4680"/>
        <w:tab w:val="right" w:pos="9360"/>
      </w:tabs>
      <w:spacing w:before="0" w:after="0"/>
    </w:pPr>
  </w:style>
  <w:style w:type="character" w:customStyle="1" w:styleId="FooterChar">
    <w:name w:val="Footer Char"/>
    <w:basedOn w:val="DefaultParagraphFont"/>
    <w:link w:val="Footer"/>
    <w:uiPriority w:val="99"/>
    <w:rsid w:val="00867BD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Dinh Chien</dc:creator>
  <cp:keywords/>
  <dc:description/>
  <cp:lastModifiedBy>Tran Dinh Chien</cp:lastModifiedBy>
  <cp:revision>2</cp:revision>
  <dcterms:created xsi:type="dcterms:W3CDTF">2021-11-01T09:20:00Z</dcterms:created>
  <dcterms:modified xsi:type="dcterms:W3CDTF">2021-11-01T09:20:00Z</dcterms:modified>
</cp:coreProperties>
</file>